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10" w:rsidRDefault="00AF3677" w:rsidP="00223002">
      <w:pPr>
        <w:jc w:val="left"/>
        <w:rPr>
          <w:b/>
        </w:rPr>
      </w:pPr>
      <w:r>
        <w:rPr>
          <w:b/>
        </w:rPr>
        <w:t xml:space="preserve">DIRECȚIA </w:t>
      </w:r>
      <w:r w:rsidR="006900EB">
        <w:rPr>
          <w:b/>
        </w:rPr>
        <w:t>GENERALĂ INVESTIŢII, PROIECTE STRATEGICE ŞI MONITORIZARE PROIECTE</w:t>
      </w:r>
    </w:p>
    <w:p w:rsidR="006900EB" w:rsidRPr="00F54D06" w:rsidRDefault="006900EB" w:rsidP="00371A10">
      <w:pPr>
        <w:rPr>
          <w:b/>
        </w:rPr>
      </w:pPr>
    </w:p>
    <w:p w:rsidR="00371A10" w:rsidRDefault="00371A10" w:rsidP="00371A10">
      <w:pPr>
        <w:jc w:val="right"/>
        <w:rPr>
          <w:b/>
          <w:i/>
        </w:rPr>
      </w:pPr>
      <w:r w:rsidRPr="00326790">
        <w:rPr>
          <w:b/>
          <w:i/>
        </w:rPr>
        <w:t xml:space="preserve">Nr. </w:t>
      </w:r>
      <w:r w:rsidR="006900EB">
        <w:rPr>
          <w:b/>
          <w:i/>
        </w:rPr>
        <w:t>............................</w:t>
      </w:r>
    </w:p>
    <w:p w:rsidR="00FA1CA9" w:rsidRDefault="00FA1CA9" w:rsidP="00371A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CA9" w:rsidRDefault="00FA1CA9" w:rsidP="00371A10"/>
    <w:p w:rsidR="003D3E23" w:rsidRPr="00A9796A" w:rsidRDefault="003D3E23" w:rsidP="003D3E23">
      <w:pPr>
        <w:spacing w:line="360" w:lineRule="auto"/>
        <w:jc w:val="center"/>
        <w:rPr>
          <w:b/>
          <w:sz w:val="24"/>
          <w:lang w:val="en-US"/>
        </w:rPr>
      </w:pPr>
      <w:r w:rsidRPr="00A9796A">
        <w:rPr>
          <w:b/>
          <w:sz w:val="24"/>
          <w:lang w:val="en-US"/>
        </w:rPr>
        <w:t>REFERAT DE APROBARE</w:t>
      </w:r>
    </w:p>
    <w:p w:rsidR="00A9796A" w:rsidRPr="00A9796A" w:rsidRDefault="00A9796A" w:rsidP="00A9796A">
      <w:pPr>
        <w:spacing w:before="80" w:after="0"/>
        <w:jc w:val="center"/>
        <w:rPr>
          <w:rFonts w:asciiTheme="minorHAnsi" w:hAnsiTheme="minorHAnsi" w:cs="Times New Roman"/>
          <w:b/>
          <w:sz w:val="24"/>
        </w:rPr>
      </w:pPr>
      <w:proofErr w:type="gramStart"/>
      <w:r w:rsidRPr="00A9796A">
        <w:rPr>
          <w:b/>
          <w:sz w:val="24"/>
          <w:lang w:val="en-US"/>
        </w:rPr>
        <w:t>a</w:t>
      </w:r>
      <w:proofErr w:type="gramEnd"/>
      <w:r w:rsidRPr="00A9796A">
        <w:rPr>
          <w:b/>
          <w:sz w:val="24"/>
          <w:lang w:val="en-US"/>
        </w:rPr>
        <w:t xml:space="preserve"> </w:t>
      </w:r>
      <w:proofErr w:type="spellStart"/>
      <w:r w:rsidRPr="00A9796A">
        <w:rPr>
          <w:b/>
          <w:sz w:val="24"/>
          <w:lang w:val="en-US"/>
        </w:rPr>
        <w:t>ordinului</w:t>
      </w:r>
      <w:proofErr w:type="spellEnd"/>
      <w:r w:rsidR="00521B7A">
        <w:rPr>
          <w:b/>
          <w:sz w:val="24"/>
          <w:lang w:val="en-US"/>
        </w:rPr>
        <w:t xml:space="preserve"> </w:t>
      </w:r>
      <w:proofErr w:type="spellStart"/>
      <w:r w:rsidRPr="00A9796A">
        <w:rPr>
          <w:b/>
          <w:sz w:val="24"/>
          <w:lang w:val="en-US"/>
        </w:rPr>
        <w:t>ministrului</w:t>
      </w:r>
      <w:proofErr w:type="spellEnd"/>
      <w:r w:rsidR="00521B7A">
        <w:rPr>
          <w:b/>
          <w:sz w:val="24"/>
          <w:lang w:val="en-US"/>
        </w:rPr>
        <w:t xml:space="preserve"> </w:t>
      </w:r>
      <w:proofErr w:type="spellStart"/>
      <w:r w:rsidRPr="00A9796A">
        <w:rPr>
          <w:b/>
          <w:sz w:val="24"/>
          <w:lang w:val="en-US"/>
        </w:rPr>
        <w:t>transporturilor</w:t>
      </w:r>
      <w:proofErr w:type="spellEnd"/>
      <w:r w:rsidR="00521B7A">
        <w:rPr>
          <w:b/>
          <w:sz w:val="24"/>
          <w:lang w:val="en-US"/>
        </w:rPr>
        <w:t xml:space="preserve"> </w:t>
      </w:r>
      <w:r w:rsidRPr="00A9796A">
        <w:rPr>
          <w:rFonts w:asciiTheme="minorHAnsi" w:hAnsiTheme="minorHAnsi" w:cs="Times New Roman"/>
          <w:b/>
          <w:sz w:val="24"/>
        </w:rPr>
        <w:t xml:space="preserve">privind aprobarea hărților strategice de zgomot pentru drumurile principale din administrarea C.N.A.I.R. – S.A.   </w:t>
      </w:r>
    </w:p>
    <w:p w:rsidR="00A9796A" w:rsidRDefault="00A9796A" w:rsidP="003D3E23">
      <w:pPr>
        <w:spacing w:line="360" w:lineRule="auto"/>
        <w:jc w:val="center"/>
        <w:rPr>
          <w:b/>
          <w:lang w:val="en-US"/>
        </w:rPr>
      </w:pPr>
    </w:p>
    <w:p w:rsidR="00A47E02" w:rsidRDefault="00A47E02" w:rsidP="003D3E23">
      <w:pPr>
        <w:spacing w:line="360" w:lineRule="auto"/>
        <w:jc w:val="center"/>
        <w:rPr>
          <w:b/>
          <w:lang w:val="en-US"/>
        </w:rPr>
      </w:pPr>
    </w:p>
    <w:p w:rsidR="00A47E02" w:rsidRPr="00A87A42" w:rsidRDefault="00A47E02" w:rsidP="00A87A42">
      <w:pPr>
        <w:spacing w:before="80" w:after="80"/>
        <w:rPr>
          <w:sz w:val="24"/>
          <w:szCs w:val="24"/>
        </w:rPr>
      </w:pPr>
      <w:r w:rsidRPr="00A87A42">
        <w:rPr>
          <w:sz w:val="24"/>
          <w:szCs w:val="24"/>
        </w:rPr>
        <w:t xml:space="preserve">În conformitate cu prevederile art. </w:t>
      </w:r>
      <w:r w:rsidR="00521B7A">
        <w:rPr>
          <w:sz w:val="24"/>
          <w:szCs w:val="24"/>
        </w:rPr>
        <w:t>65</w:t>
      </w:r>
      <w:r w:rsidRPr="00A87A42">
        <w:rPr>
          <w:sz w:val="24"/>
          <w:szCs w:val="24"/>
        </w:rPr>
        <w:t xml:space="preserve"> lit. a) din </w:t>
      </w:r>
      <w:r w:rsidR="00521B7A">
        <w:rPr>
          <w:i/>
          <w:sz w:val="24"/>
          <w:szCs w:val="24"/>
        </w:rPr>
        <w:t>Legea 121/2019</w:t>
      </w:r>
      <w:r w:rsidRPr="00A87A42">
        <w:rPr>
          <w:i/>
          <w:sz w:val="24"/>
          <w:szCs w:val="24"/>
        </w:rPr>
        <w:t xml:space="preserve"> privind evaluarea și gestionarea zgomotului ambiant</w:t>
      </w:r>
      <w:r w:rsidRPr="00A87A42">
        <w:rPr>
          <w:sz w:val="24"/>
          <w:szCs w:val="24"/>
        </w:rPr>
        <w:t xml:space="preserve">, înainte ca autoritatea centrală pentru protecția mediului să realizeze raportarea către Comisia Europeană, datele aferente </w:t>
      </w:r>
      <w:proofErr w:type="spellStart"/>
      <w:r w:rsidRPr="00A87A42">
        <w:rPr>
          <w:sz w:val="24"/>
          <w:szCs w:val="24"/>
        </w:rPr>
        <w:t>hărţilor</w:t>
      </w:r>
      <w:proofErr w:type="spellEnd"/>
      <w:r w:rsidRPr="00A87A42">
        <w:rPr>
          <w:sz w:val="24"/>
          <w:szCs w:val="24"/>
        </w:rPr>
        <w:t xml:space="preserve"> strategice de zgomot elaborate pentru drumurile principale, se aprobă prin ordin al conducătorului autorității centrale pentru transporturi.  </w:t>
      </w:r>
    </w:p>
    <w:p w:rsidR="00FE3716" w:rsidRPr="00A87A42" w:rsidRDefault="005806D9" w:rsidP="00A9796A">
      <w:pPr>
        <w:spacing w:before="80" w:after="120"/>
        <w:rPr>
          <w:sz w:val="24"/>
          <w:szCs w:val="24"/>
        </w:rPr>
      </w:pPr>
      <w:r w:rsidRPr="00A87A42">
        <w:rPr>
          <w:sz w:val="24"/>
          <w:szCs w:val="24"/>
        </w:rPr>
        <w:t xml:space="preserve">În conformitate cu </w:t>
      </w:r>
      <w:r w:rsidR="001E0A15" w:rsidRPr="00A87A42">
        <w:rPr>
          <w:sz w:val="24"/>
          <w:szCs w:val="24"/>
        </w:rPr>
        <w:t xml:space="preserve">prevederile art. </w:t>
      </w:r>
      <w:r w:rsidR="00521B7A">
        <w:rPr>
          <w:sz w:val="24"/>
          <w:szCs w:val="24"/>
        </w:rPr>
        <w:t>39</w:t>
      </w:r>
      <w:r w:rsidR="00223002" w:rsidRPr="00A87A42">
        <w:rPr>
          <w:sz w:val="24"/>
          <w:szCs w:val="24"/>
        </w:rPr>
        <w:t xml:space="preserve">, </w:t>
      </w:r>
      <w:r w:rsidR="00EB33B1" w:rsidRPr="00A87A42">
        <w:rPr>
          <w:sz w:val="24"/>
          <w:szCs w:val="24"/>
        </w:rPr>
        <w:t xml:space="preserve">lit. </w:t>
      </w:r>
      <w:r w:rsidR="00521B7A">
        <w:rPr>
          <w:sz w:val="24"/>
          <w:szCs w:val="24"/>
        </w:rPr>
        <w:t>a</w:t>
      </w:r>
      <w:r w:rsidR="00EB33B1" w:rsidRPr="00A87A42">
        <w:rPr>
          <w:sz w:val="24"/>
          <w:szCs w:val="24"/>
        </w:rPr>
        <w:t xml:space="preserve">) </w:t>
      </w:r>
      <w:r w:rsidR="001E0A15" w:rsidRPr="00A87A42">
        <w:rPr>
          <w:sz w:val="24"/>
          <w:szCs w:val="24"/>
        </w:rPr>
        <w:t>din</w:t>
      </w:r>
      <w:r w:rsidR="00521B7A">
        <w:rPr>
          <w:sz w:val="24"/>
          <w:szCs w:val="24"/>
        </w:rPr>
        <w:t xml:space="preserve"> </w:t>
      </w:r>
      <w:r w:rsidR="00521B7A">
        <w:rPr>
          <w:i/>
          <w:sz w:val="24"/>
          <w:szCs w:val="24"/>
        </w:rPr>
        <w:t>Legea 121/2019</w:t>
      </w:r>
      <w:r w:rsidR="00521B7A" w:rsidRPr="00A87A42">
        <w:rPr>
          <w:i/>
          <w:sz w:val="24"/>
          <w:szCs w:val="24"/>
        </w:rPr>
        <w:t xml:space="preserve"> privind evaluarea și gestionarea zgomotului ambiant</w:t>
      </w:r>
      <w:r w:rsidR="009F1AB5" w:rsidRPr="00A87A42">
        <w:rPr>
          <w:sz w:val="24"/>
          <w:szCs w:val="24"/>
        </w:rPr>
        <w:t>, Compania Națională</w:t>
      </w:r>
      <w:r w:rsidR="00223002" w:rsidRPr="00A87A42">
        <w:rPr>
          <w:sz w:val="24"/>
          <w:szCs w:val="24"/>
        </w:rPr>
        <w:t xml:space="preserve"> de Administrare a Infrastructurii Rutiere </w:t>
      </w:r>
      <w:r w:rsidR="009F1AB5" w:rsidRPr="00A87A42">
        <w:rPr>
          <w:sz w:val="24"/>
          <w:szCs w:val="24"/>
        </w:rPr>
        <w:t>este</w:t>
      </w:r>
      <w:r w:rsidR="00521B7A">
        <w:rPr>
          <w:sz w:val="24"/>
          <w:szCs w:val="24"/>
        </w:rPr>
        <w:t xml:space="preserve"> </w:t>
      </w:r>
      <w:r w:rsidR="009F1AB5" w:rsidRPr="00A87A42">
        <w:rPr>
          <w:sz w:val="24"/>
          <w:szCs w:val="24"/>
        </w:rPr>
        <w:t>unitatea</w:t>
      </w:r>
      <w:r w:rsidR="00521B7A">
        <w:rPr>
          <w:sz w:val="24"/>
          <w:szCs w:val="24"/>
        </w:rPr>
        <w:t xml:space="preserve"> </w:t>
      </w:r>
      <w:r w:rsidR="009F1AB5" w:rsidRPr="00A87A42">
        <w:rPr>
          <w:sz w:val="24"/>
          <w:szCs w:val="24"/>
        </w:rPr>
        <w:t>responsabilă cu elaborarea</w:t>
      </w:r>
      <w:r w:rsidR="00521B7A">
        <w:rPr>
          <w:sz w:val="24"/>
          <w:szCs w:val="24"/>
        </w:rPr>
        <w:t xml:space="preserve"> </w:t>
      </w:r>
      <w:r w:rsidR="009F1AB5" w:rsidRPr="00A87A42">
        <w:rPr>
          <w:sz w:val="24"/>
          <w:szCs w:val="24"/>
        </w:rPr>
        <w:t>hărților</w:t>
      </w:r>
      <w:r w:rsidR="00521B7A">
        <w:rPr>
          <w:sz w:val="24"/>
          <w:szCs w:val="24"/>
        </w:rPr>
        <w:t xml:space="preserve"> </w:t>
      </w:r>
      <w:r w:rsidR="009F1AB5" w:rsidRPr="00A87A42">
        <w:rPr>
          <w:sz w:val="24"/>
          <w:szCs w:val="24"/>
        </w:rPr>
        <w:t>strategice de zgomot</w:t>
      </w:r>
      <w:r w:rsidR="00521B7A">
        <w:rPr>
          <w:sz w:val="24"/>
          <w:szCs w:val="24"/>
        </w:rPr>
        <w:t xml:space="preserve"> </w:t>
      </w:r>
      <w:r w:rsidR="009F1AB5" w:rsidRPr="00A87A42">
        <w:rPr>
          <w:sz w:val="24"/>
          <w:szCs w:val="24"/>
        </w:rPr>
        <w:t>pentru</w:t>
      </w:r>
      <w:r w:rsidR="00223002" w:rsidRPr="00A87A42">
        <w:rPr>
          <w:sz w:val="24"/>
          <w:szCs w:val="24"/>
        </w:rPr>
        <w:t xml:space="preserve"> autostrăzi </w:t>
      </w:r>
      <w:proofErr w:type="spellStart"/>
      <w:r w:rsidR="00223002" w:rsidRPr="00A87A42">
        <w:rPr>
          <w:sz w:val="24"/>
          <w:szCs w:val="24"/>
        </w:rPr>
        <w:t>şi</w:t>
      </w:r>
      <w:proofErr w:type="spellEnd"/>
      <w:r w:rsidR="00223002" w:rsidRPr="00A87A42">
        <w:rPr>
          <w:sz w:val="24"/>
          <w:szCs w:val="24"/>
        </w:rPr>
        <w:t xml:space="preserve"> drumuri </w:t>
      </w:r>
      <w:proofErr w:type="spellStart"/>
      <w:r w:rsidR="00223002" w:rsidRPr="00A87A42">
        <w:rPr>
          <w:sz w:val="24"/>
          <w:szCs w:val="24"/>
        </w:rPr>
        <w:t>naţionale</w:t>
      </w:r>
      <w:proofErr w:type="spellEnd"/>
      <w:r w:rsidR="00521B7A">
        <w:rPr>
          <w:sz w:val="24"/>
          <w:szCs w:val="24"/>
        </w:rPr>
        <w:t xml:space="preserve"> care au un trafic mai mare de 3 milioane treceri de vehicule pe an</w:t>
      </w:r>
      <w:r w:rsidR="00223002" w:rsidRPr="00A87A42">
        <w:rPr>
          <w:sz w:val="24"/>
          <w:szCs w:val="24"/>
        </w:rPr>
        <w:t xml:space="preserve">. </w:t>
      </w:r>
    </w:p>
    <w:p w:rsidR="00223002" w:rsidRPr="00D92755" w:rsidRDefault="00EB33B1" w:rsidP="00A87A42">
      <w:pPr>
        <w:spacing w:before="80" w:after="0"/>
        <w:rPr>
          <w:sz w:val="24"/>
          <w:szCs w:val="24"/>
        </w:rPr>
      </w:pPr>
      <w:r w:rsidRPr="00D92755">
        <w:rPr>
          <w:sz w:val="24"/>
          <w:szCs w:val="24"/>
        </w:rPr>
        <w:t>Ținând cont de obligațiile ce îi revin</w:t>
      </w:r>
      <w:r w:rsidR="00521B7A" w:rsidRPr="00D92755">
        <w:rPr>
          <w:sz w:val="24"/>
          <w:szCs w:val="24"/>
        </w:rPr>
        <w:t xml:space="preserve"> </w:t>
      </w:r>
      <w:proofErr w:type="spellStart"/>
      <w:r w:rsidR="00223002" w:rsidRPr="00D92755">
        <w:rPr>
          <w:sz w:val="24"/>
          <w:szCs w:val="24"/>
        </w:rPr>
        <w:t>şi</w:t>
      </w:r>
      <w:proofErr w:type="spellEnd"/>
      <w:r w:rsidR="00223002" w:rsidRPr="00D92755">
        <w:rPr>
          <w:sz w:val="24"/>
          <w:szCs w:val="24"/>
        </w:rPr>
        <w:t xml:space="preserve"> în conformitate cu art.</w:t>
      </w:r>
      <w:r w:rsidR="00D92755" w:rsidRPr="00D92755">
        <w:rPr>
          <w:sz w:val="24"/>
          <w:szCs w:val="24"/>
        </w:rPr>
        <w:t xml:space="preserve"> 93</w:t>
      </w:r>
      <w:r w:rsidR="00223002" w:rsidRPr="00D92755">
        <w:rPr>
          <w:sz w:val="24"/>
          <w:szCs w:val="24"/>
        </w:rPr>
        <w:t xml:space="preserve"> din </w:t>
      </w:r>
      <w:r w:rsidR="00D92755" w:rsidRPr="00D92755">
        <w:rPr>
          <w:i/>
          <w:sz w:val="24"/>
          <w:szCs w:val="24"/>
        </w:rPr>
        <w:t>Legea 121/2019 privind evaluarea și gestionarea zgomotului ambiant</w:t>
      </w:r>
      <w:r w:rsidR="00223002" w:rsidRPr="00D92755">
        <w:rPr>
          <w:sz w:val="24"/>
          <w:szCs w:val="24"/>
        </w:rPr>
        <w:t>, C</w:t>
      </w:r>
      <w:r w:rsidR="005806D9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N</w:t>
      </w:r>
      <w:r w:rsidR="005806D9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A</w:t>
      </w:r>
      <w:r w:rsidR="005806D9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I</w:t>
      </w:r>
      <w:r w:rsidR="005806D9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R</w:t>
      </w:r>
      <w:r w:rsidR="005806D9" w:rsidRPr="00D92755">
        <w:rPr>
          <w:sz w:val="24"/>
          <w:szCs w:val="24"/>
        </w:rPr>
        <w:t>.-</w:t>
      </w:r>
      <w:r w:rsidR="00223002" w:rsidRPr="00D92755">
        <w:rPr>
          <w:sz w:val="24"/>
          <w:szCs w:val="24"/>
        </w:rPr>
        <w:t xml:space="preserve"> S</w:t>
      </w:r>
      <w:r w:rsidR="005806D9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A</w:t>
      </w:r>
      <w:r w:rsidR="005806D9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 xml:space="preserve"> a elaborat </w:t>
      </w:r>
      <w:proofErr w:type="spellStart"/>
      <w:r w:rsidR="00223002" w:rsidRPr="00D92755">
        <w:rPr>
          <w:sz w:val="24"/>
          <w:szCs w:val="24"/>
        </w:rPr>
        <w:t>hărţi</w:t>
      </w:r>
      <w:proofErr w:type="spellEnd"/>
      <w:r w:rsidR="00223002" w:rsidRPr="00D92755">
        <w:rPr>
          <w:sz w:val="24"/>
          <w:szCs w:val="24"/>
        </w:rPr>
        <w:t xml:space="preserve"> strategice de zgomot pentru drumurile principale din administrarea sa enumerate în tabelul nr. 2 al Anexei nr. 9 din HG 321/2005, republicată. </w:t>
      </w:r>
      <w:proofErr w:type="spellStart"/>
      <w:r w:rsidR="00223002" w:rsidRPr="00D92755">
        <w:rPr>
          <w:sz w:val="24"/>
          <w:szCs w:val="24"/>
        </w:rPr>
        <w:t>Faţă</w:t>
      </w:r>
      <w:proofErr w:type="spellEnd"/>
      <w:r w:rsidR="00223002" w:rsidRPr="00D92755">
        <w:rPr>
          <w:sz w:val="24"/>
          <w:szCs w:val="24"/>
        </w:rPr>
        <w:t xml:space="preserve"> de cele 256 de sectoare de drumuri principale din Tabelul nr. 2 al Anexei nr. 9 din H</w:t>
      </w:r>
      <w:r w:rsidR="00867225" w:rsidRPr="00D92755">
        <w:rPr>
          <w:sz w:val="24"/>
          <w:szCs w:val="24"/>
        </w:rPr>
        <w:t xml:space="preserve">otărârea </w:t>
      </w:r>
      <w:r w:rsidR="00223002" w:rsidRPr="00D92755">
        <w:rPr>
          <w:sz w:val="24"/>
          <w:szCs w:val="24"/>
        </w:rPr>
        <w:t>G</w:t>
      </w:r>
      <w:r w:rsidR="00867225" w:rsidRPr="00D92755">
        <w:rPr>
          <w:sz w:val="24"/>
          <w:szCs w:val="24"/>
        </w:rPr>
        <w:t xml:space="preserve">uvernului nr. </w:t>
      </w:r>
      <w:r w:rsidR="00223002" w:rsidRPr="00D92755">
        <w:rPr>
          <w:sz w:val="24"/>
          <w:szCs w:val="24"/>
        </w:rPr>
        <w:t xml:space="preserve">321/2005-republicată, cu modificările </w:t>
      </w:r>
      <w:proofErr w:type="spellStart"/>
      <w:r w:rsidR="00223002" w:rsidRPr="00D92755">
        <w:rPr>
          <w:sz w:val="24"/>
          <w:szCs w:val="24"/>
        </w:rPr>
        <w:t>şi</w:t>
      </w:r>
      <w:proofErr w:type="spellEnd"/>
      <w:r w:rsidR="00223002" w:rsidRPr="00D92755">
        <w:rPr>
          <w:sz w:val="24"/>
          <w:szCs w:val="24"/>
        </w:rPr>
        <w:t xml:space="preserve"> completările ulterioare, C</w:t>
      </w:r>
      <w:r w:rsidR="00867225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N</w:t>
      </w:r>
      <w:r w:rsidR="00867225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A</w:t>
      </w:r>
      <w:r w:rsidR="00867225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I</w:t>
      </w:r>
      <w:r w:rsidR="00867225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R</w:t>
      </w:r>
      <w:r w:rsidR="00867225" w:rsidRPr="00D92755">
        <w:rPr>
          <w:sz w:val="24"/>
          <w:szCs w:val="24"/>
        </w:rPr>
        <w:t>.-</w:t>
      </w:r>
      <w:r w:rsidR="00223002" w:rsidRPr="00D92755">
        <w:rPr>
          <w:sz w:val="24"/>
          <w:szCs w:val="24"/>
        </w:rPr>
        <w:t>S</w:t>
      </w:r>
      <w:r w:rsidR="00867225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A</w:t>
      </w:r>
      <w:r w:rsidR="00867225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 xml:space="preserve"> a întocmit </w:t>
      </w:r>
      <w:proofErr w:type="spellStart"/>
      <w:r w:rsidR="00223002" w:rsidRPr="00D92755">
        <w:rPr>
          <w:sz w:val="24"/>
          <w:szCs w:val="24"/>
        </w:rPr>
        <w:t>hărţi</w:t>
      </w:r>
      <w:proofErr w:type="spellEnd"/>
      <w:r w:rsidR="00223002" w:rsidRPr="00D92755">
        <w:rPr>
          <w:sz w:val="24"/>
          <w:szCs w:val="24"/>
        </w:rPr>
        <w:t xml:space="preserve"> strategice de zgomot pentru încă 11 sectoare, omise ca urmare a unui viciu de prelucrare a datelor la raportarea de la momentul publicării H</w:t>
      </w:r>
      <w:r w:rsidR="00C43DEA" w:rsidRPr="00D92755">
        <w:rPr>
          <w:sz w:val="24"/>
          <w:szCs w:val="24"/>
        </w:rPr>
        <w:t xml:space="preserve">otărârii </w:t>
      </w:r>
      <w:proofErr w:type="spellStart"/>
      <w:r w:rsidR="00223002" w:rsidRPr="00D92755">
        <w:rPr>
          <w:sz w:val="24"/>
          <w:szCs w:val="24"/>
        </w:rPr>
        <w:t>G</w:t>
      </w:r>
      <w:r w:rsidR="00C43DEA" w:rsidRPr="00D92755">
        <w:rPr>
          <w:sz w:val="24"/>
          <w:szCs w:val="24"/>
        </w:rPr>
        <w:t>uvernuluinr</w:t>
      </w:r>
      <w:proofErr w:type="spellEnd"/>
      <w:r w:rsidR="00C43DEA" w:rsidRPr="00D92755">
        <w:rPr>
          <w:sz w:val="24"/>
          <w:szCs w:val="24"/>
        </w:rPr>
        <w:t xml:space="preserve">. </w:t>
      </w:r>
      <w:r w:rsidR="00223002" w:rsidRPr="00D92755">
        <w:rPr>
          <w:sz w:val="24"/>
          <w:szCs w:val="24"/>
        </w:rPr>
        <w:t xml:space="preserve">944/2016 pentru modificarea </w:t>
      </w:r>
      <w:proofErr w:type="spellStart"/>
      <w:r w:rsidR="00223002" w:rsidRPr="00D92755">
        <w:rPr>
          <w:sz w:val="24"/>
          <w:szCs w:val="24"/>
        </w:rPr>
        <w:t>şi</w:t>
      </w:r>
      <w:proofErr w:type="spellEnd"/>
      <w:r w:rsidR="00223002" w:rsidRPr="00D92755">
        <w:rPr>
          <w:sz w:val="24"/>
          <w:szCs w:val="24"/>
        </w:rPr>
        <w:t xml:space="preserve"> completarea Hotărârii Guvernului nr. 321/2005 privind evaluarea </w:t>
      </w:r>
      <w:proofErr w:type="spellStart"/>
      <w:r w:rsidR="00223002" w:rsidRPr="00D92755">
        <w:rPr>
          <w:sz w:val="24"/>
          <w:szCs w:val="24"/>
        </w:rPr>
        <w:t>şi</w:t>
      </w:r>
      <w:proofErr w:type="spellEnd"/>
      <w:r w:rsidR="00223002" w:rsidRPr="00D92755">
        <w:rPr>
          <w:sz w:val="24"/>
          <w:szCs w:val="24"/>
        </w:rPr>
        <w:t xml:space="preserve"> gestionarea zgomotului ambiant. Astfel, numărul total de sectoare de drumuri principale pentru care au fost întocmite </w:t>
      </w:r>
      <w:proofErr w:type="spellStart"/>
      <w:r w:rsidR="00223002" w:rsidRPr="00D92755">
        <w:rPr>
          <w:sz w:val="24"/>
          <w:szCs w:val="24"/>
        </w:rPr>
        <w:t>hărţi</w:t>
      </w:r>
      <w:proofErr w:type="spellEnd"/>
      <w:r w:rsidR="00223002" w:rsidRPr="00D92755">
        <w:rPr>
          <w:sz w:val="24"/>
          <w:szCs w:val="24"/>
        </w:rPr>
        <w:t xml:space="preserve"> strategice de zgomot de către C</w:t>
      </w:r>
      <w:r w:rsidR="00C43DEA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N</w:t>
      </w:r>
      <w:r w:rsidR="00C43DEA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A</w:t>
      </w:r>
      <w:r w:rsidR="00C43DEA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I</w:t>
      </w:r>
      <w:r w:rsidR="00C43DEA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R</w:t>
      </w:r>
      <w:r w:rsidR="00C43DEA" w:rsidRPr="00D92755">
        <w:rPr>
          <w:sz w:val="24"/>
          <w:szCs w:val="24"/>
        </w:rPr>
        <w:t>.-S.A.</w:t>
      </w:r>
      <w:r w:rsidR="00223002" w:rsidRPr="00D92755">
        <w:rPr>
          <w:sz w:val="24"/>
          <w:szCs w:val="24"/>
        </w:rPr>
        <w:t xml:space="preserve"> este de 267, conform listei anexate.</w:t>
      </w:r>
    </w:p>
    <w:p w:rsidR="00223002" w:rsidRPr="00D92755" w:rsidRDefault="00A87A42" w:rsidP="00A87A42">
      <w:pPr>
        <w:spacing w:after="0"/>
        <w:rPr>
          <w:rFonts w:asciiTheme="minorHAnsi" w:hAnsiTheme="minorHAnsi"/>
          <w:sz w:val="24"/>
          <w:szCs w:val="24"/>
          <w:highlight w:val="yellow"/>
        </w:rPr>
      </w:pPr>
      <w:r w:rsidRPr="00D92755">
        <w:rPr>
          <w:rFonts w:asciiTheme="minorHAnsi" w:hAnsiTheme="minorHAnsi"/>
          <w:sz w:val="24"/>
          <w:szCs w:val="24"/>
        </w:rPr>
        <w:lastRenderedPageBreak/>
        <w:t xml:space="preserve">Precizăm faptul că </w:t>
      </w:r>
      <w:proofErr w:type="spellStart"/>
      <w:r w:rsidR="00223002" w:rsidRPr="00D92755">
        <w:rPr>
          <w:rFonts w:asciiTheme="minorHAnsi" w:hAnsiTheme="minorHAnsi"/>
          <w:sz w:val="24"/>
          <w:szCs w:val="24"/>
        </w:rPr>
        <w:t>Hărţile</w:t>
      </w:r>
      <w:proofErr w:type="spellEnd"/>
      <w:r w:rsidR="00223002" w:rsidRPr="00D92755">
        <w:rPr>
          <w:rFonts w:asciiTheme="minorHAnsi" w:hAnsiTheme="minorHAnsi"/>
          <w:sz w:val="24"/>
          <w:szCs w:val="24"/>
        </w:rPr>
        <w:t xml:space="preserve"> strategice de zgomot elaborate de C</w:t>
      </w:r>
      <w:r w:rsidR="00C43DEA"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N</w:t>
      </w:r>
      <w:r w:rsidR="00C43DEA"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A</w:t>
      </w:r>
      <w:r w:rsidR="00C43DEA"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I</w:t>
      </w:r>
      <w:r w:rsidR="00C43DEA"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R</w:t>
      </w:r>
      <w:r w:rsidR="00C43DEA" w:rsidRPr="00D92755">
        <w:rPr>
          <w:rFonts w:asciiTheme="minorHAnsi" w:hAnsiTheme="minorHAnsi"/>
          <w:sz w:val="24"/>
          <w:szCs w:val="24"/>
        </w:rPr>
        <w:t>.-S.A.</w:t>
      </w:r>
      <w:r w:rsidR="00223002" w:rsidRPr="00D92755">
        <w:rPr>
          <w:rFonts w:asciiTheme="minorHAnsi" w:hAnsiTheme="minorHAnsi"/>
          <w:sz w:val="24"/>
          <w:szCs w:val="24"/>
        </w:rPr>
        <w:t xml:space="preserve"> au fost </w:t>
      </w:r>
      <w:r w:rsidRPr="00D92755">
        <w:rPr>
          <w:rFonts w:asciiTheme="minorHAnsi" w:hAnsiTheme="minorHAnsi"/>
          <w:sz w:val="24"/>
          <w:szCs w:val="24"/>
        </w:rPr>
        <w:t>analizate și evaluate</w:t>
      </w:r>
      <w:r w:rsidR="00223002" w:rsidRPr="00D92755">
        <w:rPr>
          <w:rFonts w:asciiTheme="minorHAnsi" w:hAnsiTheme="minorHAnsi"/>
          <w:sz w:val="24"/>
          <w:szCs w:val="24"/>
        </w:rPr>
        <w:t xml:space="preserve"> de Comisia constituită la nivelul </w:t>
      </w:r>
      <w:r w:rsidR="00D92755" w:rsidRPr="00D92755">
        <w:rPr>
          <w:rStyle w:val="FontStyle55"/>
          <w:rFonts w:asciiTheme="minorHAnsi" w:hAnsiTheme="minorHAnsi"/>
        </w:rPr>
        <w:t>Agenției Naționale pentru Protecția Mediului</w:t>
      </w:r>
      <w:r w:rsidR="00223002" w:rsidRPr="00D92755">
        <w:rPr>
          <w:rFonts w:asciiTheme="minorHAnsi" w:hAnsiTheme="minorHAnsi"/>
          <w:sz w:val="24"/>
          <w:szCs w:val="24"/>
        </w:rPr>
        <w:t xml:space="preserve">, în conformitate cu prevederile </w:t>
      </w:r>
      <w:r w:rsidRPr="00D92755">
        <w:rPr>
          <w:rFonts w:asciiTheme="minorHAnsi" w:hAnsiTheme="minorHAnsi"/>
          <w:sz w:val="24"/>
          <w:szCs w:val="24"/>
        </w:rPr>
        <w:t>art.</w:t>
      </w:r>
      <w:r w:rsidR="00D92755">
        <w:rPr>
          <w:rFonts w:asciiTheme="minorHAnsi" w:hAnsiTheme="minorHAnsi"/>
          <w:sz w:val="24"/>
          <w:szCs w:val="24"/>
        </w:rPr>
        <w:t xml:space="preserve"> 93 </w:t>
      </w:r>
      <w:r w:rsidR="00D92755" w:rsidRPr="00D92755">
        <w:rPr>
          <w:sz w:val="24"/>
          <w:szCs w:val="24"/>
        </w:rPr>
        <w:t xml:space="preserve">din </w:t>
      </w:r>
      <w:r w:rsidR="00D92755" w:rsidRPr="00D92755">
        <w:rPr>
          <w:i/>
          <w:sz w:val="24"/>
          <w:szCs w:val="24"/>
        </w:rPr>
        <w:t>Legea 121/2019 privind evaluarea și gestionarea zgomotului ambiant</w:t>
      </w:r>
      <w:r w:rsidRPr="00D92755">
        <w:rPr>
          <w:rFonts w:asciiTheme="minorHAnsi" w:hAnsiTheme="minorHAnsi"/>
          <w:sz w:val="24"/>
          <w:szCs w:val="24"/>
        </w:rPr>
        <w:t>,</w:t>
      </w:r>
      <w:r w:rsidR="00223002" w:rsidRPr="00D92755">
        <w:rPr>
          <w:rFonts w:asciiTheme="minorHAnsi" w:hAnsiTheme="minorHAnsi"/>
          <w:sz w:val="24"/>
          <w:szCs w:val="24"/>
        </w:rPr>
        <w:t xml:space="preserve"> Comisie care a emis </w:t>
      </w:r>
      <w:r w:rsidR="00D92755" w:rsidRPr="00D92755">
        <w:rPr>
          <w:rStyle w:val="FontStyle55"/>
          <w:rFonts w:asciiTheme="minorHAnsi" w:hAnsiTheme="minorHAnsi"/>
        </w:rPr>
        <w:t>informările</w:t>
      </w:r>
      <w:r w:rsidR="00D92755" w:rsidRPr="00D92755">
        <w:rPr>
          <w:rFonts w:asciiTheme="minorHAnsi" w:hAnsiTheme="minorHAnsi"/>
          <w:sz w:val="24"/>
          <w:szCs w:val="24"/>
        </w:rPr>
        <w:t xml:space="preserve"> </w:t>
      </w:r>
      <w:r w:rsidR="00D92755" w:rsidRPr="00D92755">
        <w:rPr>
          <w:rStyle w:val="FontStyle55"/>
          <w:rFonts w:asciiTheme="minorHAnsi" w:hAnsiTheme="minorHAnsi"/>
        </w:rPr>
        <w:t xml:space="preserve">nr. 1/4688/VT/17.12.2018 </w:t>
      </w:r>
      <w:proofErr w:type="spellStart"/>
      <w:r w:rsidR="00D92755" w:rsidRPr="00D92755">
        <w:rPr>
          <w:rStyle w:val="FontStyle55"/>
          <w:rFonts w:asciiTheme="minorHAnsi" w:hAnsiTheme="minorHAnsi"/>
        </w:rPr>
        <w:t>şi</w:t>
      </w:r>
      <w:proofErr w:type="spellEnd"/>
      <w:r w:rsidR="00D92755" w:rsidRPr="00D92755">
        <w:rPr>
          <w:rStyle w:val="FontStyle55"/>
          <w:rFonts w:asciiTheme="minorHAnsi" w:hAnsiTheme="minorHAnsi"/>
        </w:rPr>
        <w:t xml:space="preserve"> nr. 1/2294/VT/19.06.2019 </w:t>
      </w:r>
      <w:r w:rsidR="00223002" w:rsidRPr="00D92755">
        <w:rPr>
          <w:rFonts w:asciiTheme="minorHAnsi" w:hAnsiTheme="minorHAnsi"/>
          <w:sz w:val="24"/>
          <w:szCs w:val="24"/>
        </w:rPr>
        <w:t xml:space="preserve">anexate care atestă faptul ca </w:t>
      </w:r>
      <w:proofErr w:type="spellStart"/>
      <w:r w:rsidR="00223002" w:rsidRPr="00D92755">
        <w:rPr>
          <w:rFonts w:asciiTheme="minorHAnsi" w:hAnsiTheme="minorHAnsi"/>
          <w:sz w:val="24"/>
          <w:szCs w:val="24"/>
        </w:rPr>
        <w:t>hărţile</w:t>
      </w:r>
      <w:proofErr w:type="spellEnd"/>
      <w:r w:rsidR="00223002" w:rsidRPr="00D92755">
        <w:rPr>
          <w:rFonts w:asciiTheme="minorHAnsi" w:hAnsiTheme="minorHAnsi"/>
          <w:sz w:val="24"/>
          <w:szCs w:val="24"/>
        </w:rPr>
        <w:t xml:space="preserve"> întocmite de C</w:t>
      </w:r>
      <w:r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N</w:t>
      </w:r>
      <w:r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A</w:t>
      </w:r>
      <w:r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I</w:t>
      </w:r>
      <w:r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R</w:t>
      </w:r>
      <w:r w:rsidRPr="00D92755">
        <w:rPr>
          <w:rFonts w:asciiTheme="minorHAnsi" w:hAnsiTheme="minorHAnsi"/>
          <w:sz w:val="24"/>
          <w:szCs w:val="24"/>
        </w:rPr>
        <w:t>.–</w:t>
      </w:r>
      <w:r w:rsidR="00223002" w:rsidRPr="00D92755">
        <w:rPr>
          <w:rFonts w:asciiTheme="minorHAnsi" w:hAnsiTheme="minorHAnsi"/>
          <w:sz w:val="24"/>
          <w:szCs w:val="24"/>
        </w:rPr>
        <w:t>S</w:t>
      </w:r>
      <w:r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A</w:t>
      </w:r>
      <w:r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 xml:space="preserve"> sunt conform </w:t>
      </w:r>
      <w:proofErr w:type="spellStart"/>
      <w:r w:rsidR="00223002" w:rsidRPr="00D92755">
        <w:rPr>
          <w:rFonts w:asciiTheme="minorHAnsi" w:hAnsiTheme="minorHAnsi"/>
          <w:sz w:val="24"/>
          <w:szCs w:val="24"/>
        </w:rPr>
        <w:t>cerinţelor</w:t>
      </w:r>
      <w:proofErr w:type="spellEnd"/>
      <w:r w:rsidR="00D92755" w:rsidRPr="00D927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23002" w:rsidRPr="00D92755">
        <w:rPr>
          <w:rFonts w:asciiTheme="minorHAnsi" w:hAnsiTheme="minorHAnsi"/>
          <w:sz w:val="24"/>
          <w:szCs w:val="24"/>
        </w:rPr>
        <w:t>şi</w:t>
      </w:r>
      <w:proofErr w:type="spellEnd"/>
      <w:r w:rsidR="00223002" w:rsidRPr="00D92755">
        <w:rPr>
          <w:rFonts w:asciiTheme="minorHAnsi" w:hAnsiTheme="minorHAnsi"/>
          <w:sz w:val="24"/>
          <w:szCs w:val="24"/>
        </w:rPr>
        <w:t xml:space="preserve"> nu necesită completări.</w:t>
      </w:r>
    </w:p>
    <w:p w:rsidR="00223002" w:rsidRPr="00D92755" w:rsidRDefault="00912FB4" w:rsidP="00A87A42">
      <w:pPr>
        <w:spacing w:before="80" w:after="120"/>
        <w:rPr>
          <w:sz w:val="24"/>
          <w:szCs w:val="24"/>
        </w:rPr>
      </w:pPr>
      <w:r w:rsidRPr="00D92755">
        <w:rPr>
          <w:sz w:val="24"/>
          <w:szCs w:val="24"/>
        </w:rPr>
        <w:t xml:space="preserve">Menționăm faptul că </w:t>
      </w:r>
      <w:r w:rsidR="009A4363" w:rsidRPr="00D92755">
        <w:rPr>
          <w:sz w:val="24"/>
          <w:szCs w:val="24"/>
        </w:rPr>
        <w:t>h</w:t>
      </w:r>
      <w:r w:rsidRPr="00D92755">
        <w:rPr>
          <w:sz w:val="24"/>
          <w:szCs w:val="24"/>
        </w:rPr>
        <w:t>ărțile strategice de zgomot</w:t>
      </w:r>
      <w:r w:rsidR="00BF3F1F" w:rsidRPr="00D92755">
        <w:rPr>
          <w:sz w:val="24"/>
          <w:szCs w:val="24"/>
        </w:rPr>
        <w:t xml:space="preserve"> nu pot fi publicate în Monitorul Oficial al României, Partea I, din motive de natură </w:t>
      </w:r>
      <w:proofErr w:type="spellStart"/>
      <w:r w:rsidR="00BF3F1F" w:rsidRPr="00D92755">
        <w:rPr>
          <w:sz w:val="24"/>
          <w:szCs w:val="24"/>
        </w:rPr>
        <w:t>tehnico</w:t>
      </w:r>
      <w:proofErr w:type="spellEnd"/>
      <w:r w:rsidR="00BF3F1F" w:rsidRPr="00D92755">
        <w:rPr>
          <w:sz w:val="24"/>
          <w:szCs w:val="24"/>
        </w:rPr>
        <w:t xml:space="preserve"> – redacționale, respectiv datorită complexității acest</w:t>
      </w:r>
      <w:r w:rsidR="006B5533" w:rsidRPr="00D92755">
        <w:rPr>
          <w:sz w:val="24"/>
          <w:szCs w:val="24"/>
        </w:rPr>
        <w:t>ora</w:t>
      </w:r>
      <w:r w:rsidR="00BF3F1F" w:rsidRPr="00D92755">
        <w:rPr>
          <w:sz w:val="24"/>
          <w:szCs w:val="24"/>
        </w:rPr>
        <w:t>, fiind disponibil</w:t>
      </w:r>
      <w:r w:rsidR="006B5533" w:rsidRPr="00D92755">
        <w:rPr>
          <w:sz w:val="24"/>
          <w:szCs w:val="24"/>
        </w:rPr>
        <w:t>e</w:t>
      </w:r>
      <w:r w:rsidR="00BF3F1F" w:rsidRPr="00D92755">
        <w:rPr>
          <w:sz w:val="24"/>
          <w:szCs w:val="24"/>
        </w:rPr>
        <w:t xml:space="preserve"> în format electronic pe pagina de internet </w:t>
      </w:r>
      <w:r w:rsidR="00223002" w:rsidRPr="00D92755">
        <w:rPr>
          <w:sz w:val="24"/>
          <w:szCs w:val="24"/>
          <w:u w:val="single"/>
        </w:rPr>
        <w:t>http://management-zgomot.cnadnr.ro</w:t>
      </w:r>
    </w:p>
    <w:p w:rsidR="002D0D73" w:rsidRPr="00A87A42" w:rsidRDefault="0009002A" w:rsidP="00A87A42">
      <w:pPr>
        <w:spacing w:before="80" w:after="120"/>
        <w:rPr>
          <w:i/>
          <w:sz w:val="24"/>
          <w:szCs w:val="24"/>
        </w:rPr>
      </w:pPr>
      <w:r w:rsidRPr="00D92755">
        <w:rPr>
          <w:sz w:val="24"/>
          <w:szCs w:val="24"/>
        </w:rPr>
        <w:t>Având în vedere cele de mai sus, supunem spre aprobare proiectul de</w:t>
      </w:r>
      <w:r w:rsidRPr="00D92755">
        <w:rPr>
          <w:i/>
          <w:sz w:val="24"/>
          <w:szCs w:val="24"/>
        </w:rPr>
        <w:t xml:space="preserve"> Ordin</w:t>
      </w:r>
      <w:r w:rsidR="00AD292D">
        <w:rPr>
          <w:i/>
          <w:sz w:val="24"/>
          <w:szCs w:val="24"/>
        </w:rPr>
        <w:t xml:space="preserve"> </w:t>
      </w:r>
      <w:r w:rsidRPr="00D92755">
        <w:rPr>
          <w:i/>
          <w:sz w:val="24"/>
          <w:szCs w:val="24"/>
        </w:rPr>
        <w:t xml:space="preserve">al ministrului transporturilor privind aprobarea hărților strategice de zgomot </w:t>
      </w:r>
      <w:r w:rsidR="00223002" w:rsidRPr="00D92755">
        <w:rPr>
          <w:i/>
          <w:sz w:val="24"/>
          <w:szCs w:val="24"/>
        </w:rPr>
        <w:t>pentru drumurile principale din administrarea C</w:t>
      </w:r>
      <w:r w:rsidR="00A87A42" w:rsidRPr="00D92755">
        <w:rPr>
          <w:i/>
          <w:sz w:val="24"/>
          <w:szCs w:val="24"/>
        </w:rPr>
        <w:t>.</w:t>
      </w:r>
      <w:r w:rsidR="00223002" w:rsidRPr="00D92755">
        <w:rPr>
          <w:i/>
          <w:sz w:val="24"/>
          <w:szCs w:val="24"/>
        </w:rPr>
        <w:t>N</w:t>
      </w:r>
      <w:r w:rsidR="00A87A42" w:rsidRPr="00D92755">
        <w:rPr>
          <w:i/>
          <w:sz w:val="24"/>
          <w:szCs w:val="24"/>
        </w:rPr>
        <w:t>.</w:t>
      </w:r>
      <w:r w:rsidR="00223002" w:rsidRPr="00D92755">
        <w:rPr>
          <w:i/>
          <w:sz w:val="24"/>
          <w:szCs w:val="24"/>
        </w:rPr>
        <w:t>A</w:t>
      </w:r>
      <w:r w:rsidR="00A87A42" w:rsidRPr="00D92755">
        <w:rPr>
          <w:i/>
          <w:sz w:val="24"/>
          <w:szCs w:val="24"/>
        </w:rPr>
        <w:t>.</w:t>
      </w:r>
      <w:r w:rsidR="00223002" w:rsidRPr="00D92755">
        <w:rPr>
          <w:i/>
          <w:sz w:val="24"/>
          <w:szCs w:val="24"/>
        </w:rPr>
        <w:t>I</w:t>
      </w:r>
      <w:r w:rsidR="00A87A42" w:rsidRPr="00D92755">
        <w:rPr>
          <w:i/>
          <w:sz w:val="24"/>
          <w:szCs w:val="24"/>
        </w:rPr>
        <w:t>.</w:t>
      </w:r>
      <w:r w:rsidR="00223002" w:rsidRPr="00D92755">
        <w:rPr>
          <w:i/>
          <w:sz w:val="24"/>
          <w:szCs w:val="24"/>
        </w:rPr>
        <w:t>R</w:t>
      </w:r>
      <w:r w:rsidR="00A87A42" w:rsidRPr="00D92755">
        <w:rPr>
          <w:i/>
          <w:sz w:val="24"/>
          <w:szCs w:val="24"/>
        </w:rPr>
        <w:t>.-</w:t>
      </w:r>
      <w:r w:rsidR="00223002" w:rsidRPr="00D92755">
        <w:rPr>
          <w:i/>
          <w:sz w:val="24"/>
          <w:szCs w:val="24"/>
        </w:rPr>
        <w:t xml:space="preserve"> S</w:t>
      </w:r>
      <w:r w:rsidR="00A87A42" w:rsidRPr="00D92755">
        <w:rPr>
          <w:i/>
          <w:sz w:val="24"/>
          <w:szCs w:val="24"/>
        </w:rPr>
        <w:t>.</w:t>
      </w:r>
      <w:r w:rsidR="00223002" w:rsidRPr="00D92755">
        <w:rPr>
          <w:i/>
          <w:sz w:val="24"/>
          <w:szCs w:val="24"/>
        </w:rPr>
        <w:t>A</w:t>
      </w:r>
      <w:r w:rsidRPr="00D92755">
        <w:rPr>
          <w:i/>
          <w:sz w:val="24"/>
          <w:szCs w:val="24"/>
        </w:rPr>
        <w:t>.</w:t>
      </w:r>
    </w:p>
    <w:p w:rsidR="002D0D73" w:rsidRDefault="002D0D73" w:rsidP="00BC08BA">
      <w:pPr>
        <w:spacing w:before="80" w:after="80"/>
        <w:rPr>
          <w:i/>
        </w:rPr>
      </w:pPr>
    </w:p>
    <w:p w:rsidR="00AF3677" w:rsidRDefault="00AF3677" w:rsidP="00A876BB">
      <w:pPr>
        <w:spacing w:before="80" w:after="80"/>
        <w:rPr>
          <w:i/>
        </w:rPr>
      </w:pPr>
    </w:p>
    <w:p w:rsidR="00DB23EA" w:rsidRDefault="00DB23EA" w:rsidP="00A876BB">
      <w:pPr>
        <w:spacing w:before="80" w:after="80"/>
        <w:rPr>
          <w:i/>
        </w:rPr>
      </w:pPr>
    </w:p>
    <w:p w:rsidR="00371A10" w:rsidRDefault="00371A10" w:rsidP="0066516A">
      <w:pPr>
        <w:jc w:val="center"/>
        <w:rPr>
          <w:b/>
        </w:rPr>
      </w:pPr>
      <w:r w:rsidRPr="00AF3677">
        <w:rPr>
          <w:b/>
        </w:rPr>
        <w:t>Director</w:t>
      </w:r>
      <w:r w:rsidR="007A51EC">
        <w:rPr>
          <w:b/>
        </w:rPr>
        <w:t xml:space="preserve"> general</w:t>
      </w:r>
      <w:bookmarkStart w:id="0" w:name="_GoBack"/>
      <w:bookmarkEnd w:id="0"/>
      <w:r w:rsidR="0066516A">
        <w:rPr>
          <w:b/>
        </w:rPr>
        <w:t>,</w:t>
      </w:r>
    </w:p>
    <w:p w:rsidR="00223002" w:rsidRDefault="00223002" w:rsidP="0066516A">
      <w:pPr>
        <w:jc w:val="center"/>
        <w:rPr>
          <w:b/>
        </w:rPr>
      </w:pPr>
      <w:r>
        <w:rPr>
          <w:b/>
        </w:rPr>
        <w:t>Mihaela MOCANU</w:t>
      </w:r>
    </w:p>
    <w:p w:rsidR="0066516A" w:rsidRPr="00AF3677" w:rsidRDefault="0066516A" w:rsidP="0066516A">
      <w:pPr>
        <w:jc w:val="center"/>
        <w:rPr>
          <w:b/>
        </w:rPr>
      </w:pPr>
    </w:p>
    <w:p w:rsidR="00AF3677" w:rsidRDefault="00AF3677" w:rsidP="00371A10">
      <w:pPr>
        <w:rPr>
          <w:b/>
        </w:rPr>
      </w:pPr>
    </w:p>
    <w:p w:rsidR="002A2DAE" w:rsidRDefault="002A2DAE" w:rsidP="00371A10">
      <w:pPr>
        <w:rPr>
          <w:b/>
        </w:rPr>
      </w:pPr>
    </w:p>
    <w:p w:rsidR="00DB23EA" w:rsidRDefault="00DB23EA" w:rsidP="0075751B">
      <w:pPr>
        <w:spacing w:before="60" w:after="60"/>
        <w:ind w:left="7200"/>
        <w:rPr>
          <w:sz w:val="18"/>
          <w:szCs w:val="18"/>
        </w:rPr>
      </w:pPr>
    </w:p>
    <w:sectPr w:rsidR="00DB23EA" w:rsidSect="00223002">
      <w:headerReference w:type="default" r:id="rId6"/>
      <w:footerReference w:type="default" r:id="rId7"/>
      <w:pgSz w:w="11906" w:h="16838" w:code="9"/>
      <w:pgMar w:top="2552" w:right="849" w:bottom="1134" w:left="1418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1E" w:rsidRDefault="00F5221E" w:rsidP="009772BD">
      <w:r>
        <w:separator/>
      </w:r>
    </w:p>
  </w:endnote>
  <w:endnote w:type="continuationSeparator" w:id="0">
    <w:p w:rsidR="00F5221E" w:rsidRDefault="00F5221E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77" w:rsidRDefault="00AF3677" w:rsidP="00AF3677">
    <w:pPr>
      <w:pStyle w:val="Footer1"/>
    </w:pPr>
    <w:proofErr w:type="spellStart"/>
    <w:r>
      <w:t>Bdul</w:t>
    </w:r>
    <w:proofErr w:type="spellEnd"/>
    <w:r>
      <w:t xml:space="preserve"> Dinicu Golescu nr. 38, Sector 1, București</w:t>
    </w:r>
  </w:p>
  <w:p w:rsidR="00AF3677" w:rsidRDefault="00AF3677" w:rsidP="00AF3677">
    <w:pPr>
      <w:pStyle w:val="Footer1"/>
    </w:pPr>
    <w:r>
      <w:t xml:space="preserve">Tel.: 021 319.62.09, </w:t>
    </w:r>
  </w:p>
  <w:p w:rsidR="00AF3677" w:rsidRDefault="00AF3677" w:rsidP="00AF3677">
    <w:pPr>
      <w:pStyle w:val="Footer1"/>
    </w:pPr>
    <w:r>
      <w:t>Fax: 021 319.61.62;</w:t>
    </w:r>
  </w:p>
  <w:p w:rsidR="002328DD" w:rsidRPr="009772BD" w:rsidRDefault="00AF3677" w:rsidP="00AF3677">
    <w:pPr>
      <w:pStyle w:val="Footer1"/>
    </w:pPr>
    <w:r>
      <w:t>www.mt.ro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1E" w:rsidRDefault="00F5221E" w:rsidP="009772BD">
      <w:r>
        <w:separator/>
      </w:r>
    </w:p>
  </w:footnote>
  <w:footnote w:type="continuationSeparator" w:id="0">
    <w:p w:rsidR="00F5221E" w:rsidRDefault="00F5221E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D4" w:rsidRDefault="00371A10" w:rsidP="009772BD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642995" cy="899795"/>
          <wp:effectExtent l="0" t="0" r="0" b="0"/>
          <wp:wrapThrough wrapText="bothSides">
            <wp:wrapPolygon edited="0">
              <wp:start x="1694" y="0"/>
              <wp:lineTo x="1017" y="1372"/>
              <wp:lineTo x="0" y="5488"/>
              <wp:lineTo x="0" y="16006"/>
              <wp:lineTo x="1355" y="21036"/>
              <wp:lineTo x="1694" y="21036"/>
              <wp:lineTo x="3614" y="21036"/>
              <wp:lineTo x="3953" y="21036"/>
              <wp:lineTo x="5309" y="15548"/>
              <wp:lineTo x="5309" y="14634"/>
              <wp:lineTo x="21461" y="12347"/>
              <wp:lineTo x="21461" y="8689"/>
              <wp:lineTo x="5535" y="6402"/>
              <wp:lineTo x="4405" y="1829"/>
              <wp:lineTo x="3614" y="0"/>
              <wp:lineTo x="1694" y="0"/>
            </wp:wrapPolygon>
          </wp:wrapThrough>
          <wp:docPr id="1" name="Picture 1" descr="logo MTr 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Tr 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29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338C"/>
    <w:rsid w:val="00007E2B"/>
    <w:rsid w:val="000745D4"/>
    <w:rsid w:val="0009002A"/>
    <w:rsid w:val="00094DC9"/>
    <w:rsid w:val="000D6EEA"/>
    <w:rsid w:val="001230C0"/>
    <w:rsid w:val="001343F3"/>
    <w:rsid w:val="001466DC"/>
    <w:rsid w:val="001741B7"/>
    <w:rsid w:val="001E0A15"/>
    <w:rsid w:val="00223002"/>
    <w:rsid w:val="002328DD"/>
    <w:rsid w:val="00254D04"/>
    <w:rsid w:val="00277A97"/>
    <w:rsid w:val="002A2DAE"/>
    <w:rsid w:val="002B6F4D"/>
    <w:rsid w:val="002C3D5D"/>
    <w:rsid w:val="002C7FFB"/>
    <w:rsid w:val="002D0D73"/>
    <w:rsid w:val="00371A10"/>
    <w:rsid w:val="00376C17"/>
    <w:rsid w:val="00377E09"/>
    <w:rsid w:val="003D3E23"/>
    <w:rsid w:val="003F6D29"/>
    <w:rsid w:val="0040453A"/>
    <w:rsid w:val="00411E9B"/>
    <w:rsid w:val="00464D11"/>
    <w:rsid w:val="004B2614"/>
    <w:rsid w:val="004B4EE2"/>
    <w:rsid w:val="004E0B04"/>
    <w:rsid w:val="004E389E"/>
    <w:rsid w:val="004F1C7A"/>
    <w:rsid w:val="004F1EAF"/>
    <w:rsid w:val="00516F88"/>
    <w:rsid w:val="00521B7A"/>
    <w:rsid w:val="00540BE0"/>
    <w:rsid w:val="00551E44"/>
    <w:rsid w:val="005806D9"/>
    <w:rsid w:val="00585806"/>
    <w:rsid w:val="005B4F87"/>
    <w:rsid w:val="005D68A6"/>
    <w:rsid w:val="00604BCD"/>
    <w:rsid w:val="00663484"/>
    <w:rsid w:val="0066516A"/>
    <w:rsid w:val="006659F8"/>
    <w:rsid w:val="006900EB"/>
    <w:rsid w:val="006B5533"/>
    <w:rsid w:val="006C467C"/>
    <w:rsid w:val="006E06AF"/>
    <w:rsid w:val="00744266"/>
    <w:rsid w:val="00746743"/>
    <w:rsid w:val="00746A01"/>
    <w:rsid w:val="0075751B"/>
    <w:rsid w:val="007A51EC"/>
    <w:rsid w:val="007B55DB"/>
    <w:rsid w:val="007E6765"/>
    <w:rsid w:val="00840A24"/>
    <w:rsid w:val="00867225"/>
    <w:rsid w:val="00867DE7"/>
    <w:rsid w:val="00896155"/>
    <w:rsid w:val="008B2AC6"/>
    <w:rsid w:val="00903AB8"/>
    <w:rsid w:val="00912FB4"/>
    <w:rsid w:val="00916622"/>
    <w:rsid w:val="00924819"/>
    <w:rsid w:val="009430B8"/>
    <w:rsid w:val="00954D0C"/>
    <w:rsid w:val="0096654D"/>
    <w:rsid w:val="009772BD"/>
    <w:rsid w:val="00995F8E"/>
    <w:rsid w:val="009A4363"/>
    <w:rsid w:val="009C235F"/>
    <w:rsid w:val="009D2F41"/>
    <w:rsid w:val="009F1AB5"/>
    <w:rsid w:val="00A02B6F"/>
    <w:rsid w:val="00A33E01"/>
    <w:rsid w:val="00A47E02"/>
    <w:rsid w:val="00A876BB"/>
    <w:rsid w:val="00A87A42"/>
    <w:rsid w:val="00A902E0"/>
    <w:rsid w:val="00A95B51"/>
    <w:rsid w:val="00A9796A"/>
    <w:rsid w:val="00AD292D"/>
    <w:rsid w:val="00AE0826"/>
    <w:rsid w:val="00AE4728"/>
    <w:rsid w:val="00AF3677"/>
    <w:rsid w:val="00B03627"/>
    <w:rsid w:val="00B2782B"/>
    <w:rsid w:val="00B32E70"/>
    <w:rsid w:val="00B364F2"/>
    <w:rsid w:val="00B44C84"/>
    <w:rsid w:val="00B74671"/>
    <w:rsid w:val="00B77051"/>
    <w:rsid w:val="00B81BEB"/>
    <w:rsid w:val="00BB1462"/>
    <w:rsid w:val="00BB1A52"/>
    <w:rsid w:val="00BC08BA"/>
    <w:rsid w:val="00BE1354"/>
    <w:rsid w:val="00BE48B7"/>
    <w:rsid w:val="00BF3F1F"/>
    <w:rsid w:val="00C27FE2"/>
    <w:rsid w:val="00C33417"/>
    <w:rsid w:val="00C43DEA"/>
    <w:rsid w:val="00C7732E"/>
    <w:rsid w:val="00C90CAB"/>
    <w:rsid w:val="00CC15EC"/>
    <w:rsid w:val="00CD23C3"/>
    <w:rsid w:val="00CD4126"/>
    <w:rsid w:val="00CD7FDC"/>
    <w:rsid w:val="00CF124F"/>
    <w:rsid w:val="00CF5D51"/>
    <w:rsid w:val="00CF6FAC"/>
    <w:rsid w:val="00D00E14"/>
    <w:rsid w:val="00D16891"/>
    <w:rsid w:val="00D200AE"/>
    <w:rsid w:val="00D21322"/>
    <w:rsid w:val="00D30AC5"/>
    <w:rsid w:val="00D3236A"/>
    <w:rsid w:val="00D66099"/>
    <w:rsid w:val="00D71BEC"/>
    <w:rsid w:val="00D72A8E"/>
    <w:rsid w:val="00D801B4"/>
    <w:rsid w:val="00D92755"/>
    <w:rsid w:val="00DA31CF"/>
    <w:rsid w:val="00DB23EA"/>
    <w:rsid w:val="00DF1609"/>
    <w:rsid w:val="00E10D2E"/>
    <w:rsid w:val="00E36FE8"/>
    <w:rsid w:val="00E6505E"/>
    <w:rsid w:val="00E74124"/>
    <w:rsid w:val="00EB33B1"/>
    <w:rsid w:val="00EE79CF"/>
    <w:rsid w:val="00F21F66"/>
    <w:rsid w:val="00F26CF8"/>
    <w:rsid w:val="00F30853"/>
    <w:rsid w:val="00F44019"/>
    <w:rsid w:val="00F51198"/>
    <w:rsid w:val="00F5221E"/>
    <w:rsid w:val="00FA1CA9"/>
    <w:rsid w:val="00FC7074"/>
    <w:rsid w:val="00FE0C3B"/>
    <w:rsid w:val="00FE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912FB4"/>
    <w:rPr>
      <w:color w:val="0563C1" w:themeColor="hyperlink"/>
      <w:u w:val="single"/>
    </w:rPr>
  </w:style>
  <w:style w:type="character" w:customStyle="1" w:styleId="FontStyle55">
    <w:name w:val="Font Style55"/>
    <w:rsid w:val="00D9275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2019-08-07T13:27:00Z</dcterms:created>
  <dcterms:modified xsi:type="dcterms:W3CDTF">2019-08-07T13:28:00Z</dcterms:modified>
</cp:coreProperties>
</file>