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</w:t>
            </w:r>
            <w:r w:rsidR="001D262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1D2622" w:rsidRDefault="00D343F9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43F9">
              <w:rPr>
                <w:rFonts w:ascii="Times New Roman" w:hAnsi="Times New Roman" w:cs="Times New Roman"/>
                <w:b/>
                <w:sz w:val="26"/>
                <w:szCs w:val="26"/>
              </w:rPr>
              <w:t>Societăţii</w:t>
            </w:r>
            <w:proofErr w:type="spellEnd"/>
            <w:r w:rsidRPr="00D34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“</w:t>
            </w:r>
            <w:proofErr w:type="spellStart"/>
            <w:r w:rsidRPr="00D343F9">
              <w:rPr>
                <w:rFonts w:ascii="Times New Roman" w:hAnsi="Times New Roman" w:cs="Times New Roman"/>
                <w:b/>
                <w:sz w:val="26"/>
                <w:szCs w:val="26"/>
              </w:rPr>
              <w:t>Telecomunicaţii</w:t>
            </w:r>
            <w:proofErr w:type="spellEnd"/>
            <w:r w:rsidRPr="00D34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C.F.R.” S.A.</w:t>
            </w:r>
          </w:p>
          <w:p w:rsidR="003479AA" w:rsidRPr="00ED59F4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aflată sub autoritatea </w:t>
            </w:r>
            <w:r w:rsidR="00AD16AA" w:rsidRPr="00AD16AA">
              <w:rPr>
                <w:rFonts w:ascii="Times New Roman" w:hAnsi="Times New Roman" w:cs="Times New Roman"/>
                <w:b/>
                <w:sz w:val="26"/>
                <w:szCs w:val="26"/>
              </w:rPr>
              <w:t>Ministerului Transporturilor, Infrastructurii și Comunicațiilor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al </w:t>
            </w:r>
            <w:r w:rsidR="001D26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="00D343F9" w:rsidRPr="00D343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Societăţii</w:t>
            </w:r>
            <w:proofErr w:type="spellEnd"/>
            <w:r w:rsidR="00D343F9" w:rsidRPr="00D343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 “</w:t>
            </w:r>
            <w:proofErr w:type="spellStart"/>
            <w:r w:rsidR="00D343F9" w:rsidRPr="00D343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Telecomunicaţii</w:t>
            </w:r>
            <w:proofErr w:type="spellEnd"/>
            <w:r w:rsidR="00D343F9" w:rsidRPr="00D343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C.F.R.” S.A.</w:t>
            </w:r>
            <w:r w:rsidR="001D26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</w:t>
            </w:r>
            <w:r w:rsidR="001D262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20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1D2622" w:rsidRPr="001D2622" w:rsidRDefault="001D2622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2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-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prevederile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O.M.F.P. nr.3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818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privind aprobarea formatului </w:t>
            </w:r>
            <w:proofErr w:type="spellStart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structurii bugetului de venituri </w:t>
            </w:r>
            <w:proofErr w:type="spellStart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cheltuieli</w:t>
            </w:r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D2622" w:rsidRDefault="001D2622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  - prevederile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26/2013 privind întărirea disciplinei financiare la nivelul unor operatori economici la care statul sau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unităţile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administrativ-teritoriale sunt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acţionari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unici ori majoritari sau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deţin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direct ori indirect o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participaţie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majoritară,  aprobată cu completări prin Legea </w:t>
            </w:r>
            <w:r w:rsidRPr="001D2622">
              <w:rPr>
                <w:rFonts w:ascii="Times New Roman" w:hAnsi="Times New Roman" w:cs="Times New Roman"/>
                <w:bCs/>
                <w:sz w:val="26"/>
                <w:szCs w:val="26"/>
              </w:rPr>
              <w:t>nr. 47/2014</w:t>
            </w:r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, cu modificările </w:t>
            </w:r>
            <w:proofErr w:type="spellStart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1D2622">
              <w:rPr>
                <w:rFonts w:ascii="Times New Roman" w:hAnsi="Times New Roman" w:cs="Times New Roman"/>
                <w:sz w:val="26"/>
                <w:szCs w:val="26"/>
              </w:rPr>
              <w:t xml:space="preserve"> completările ulterioare.</w:t>
            </w:r>
          </w:p>
          <w:p w:rsidR="009024E0" w:rsidRPr="009024E0" w:rsidRDefault="009024E0" w:rsidP="009024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4E0">
              <w:rPr>
                <w:rFonts w:ascii="Times New Roman" w:hAnsi="Times New Roman" w:cs="Times New Roman"/>
                <w:sz w:val="26"/>
                <w:szCs w:val="26"/>
              </w:rPr>
              <w:t xml:space="preserve">În bugetul de venituri și cheltuieli pe anul 2020 sunt programate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creșteri a </w:t>
            </w:r>
            <w:r w:rsidRPr="009024E0">
              <w:rPr>
                <w:rFonts w:ascii="Times New Roman" w:hAnsi="Times New Roman" w:cs="Times New Roman"/>
                <w:sz w:val="26"/>
                <w:szCs w:val="26"/>
              </w:rPr>
              <w:t>venituri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lor</w:t>
            </w:r>
            <w:r w:rsidRPr="009024E0">
              <w:rPr>
                <w:rFonts w:ascii="Times New Roman" w:hAnsi="Times New Roman" w:cs="Times New Roman"/>
                <w:sz w:val="26"/>
                <w:szCs w:val="26"/>
              </w:rPr>
              <w:t xml:space="preserve"> totale față de realizăr</w:t>
            </w:r>
            <w:r w:rsidR="00D343F9">
              <w:rPr>
                <w:rFonts w:ascii="Times New Roman" w:hAnsi="Times New Roman" w:cs="Times New Roman"/>
                <w:sz w:val="26"/>
                <w:szCs w:val="26"/>
              </w:rPr>
              <w:t>ile anului precedent cu 12,73% și a</w:t>
            </w:r>
            <w:r w:rsidRPr="009024E0">
              <w:rPr>
                <w:rFonts w:ascii="Times New Roman" w:hAnsi="Times New Roman" w:cs="Times New Roman"/>
                <w:sz w:val="26"/>
                <w:szCs w:val="26"/>
              </w:rPr>
              <w:t xml:space="preserve"> cheltuielil</w:t>
            </w:r>
            <w:r w:rsidR="00D343F9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  <w:r w:rsidRPr="009024E0">
              <w:rPr>
                <w:rFonts w:ascii="Times New Roman" w:hAnsi="Times New Roman" w:cs="Times New Roman"/>
                <w:sz w:val="26"/>
                <w:szCs w:val="26"/>
              </w:rPr>
              <w:t xml:space="preserve"> totale cu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13,74%</w:t>
            </w:r>
            <w:r w:rsidRPr="009024E0">
              <w:rPr>
                <w:rFonts w:ascii="Times New Roman" w:hAnsi="Times New Roman" w:cs="Times New Roman"/>
                <w:sz w:val="26"/>
                <w:szCs w:val="26"/>
              </w:rPr>
              <w:t>, societatea programând un profit brut de  4.636,37 mii lei.</w:t>
            </w:r>
          </w:p>
          <w:p w:rsidR="009024E0" w:rsidRPr="009024E0" w:rsidRDefault="009024E0" w:rsidP="009024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4E0">
              <w:rPr>
                <w:rFonts w:ascii="Times New Roman" w:hAnsi="Times New Roman" w:cs="Times New Roman"/>
                <w:sz w:val="26"/>
                <w:szCs w:val="26"/>
              </w:rPr>
              <w:t>Veniturile totale sunt majorate cu  12,73 %  urmare a contractelor de furnizare de servicii de telecomunicații specifice siguranței feroviare precum și din operațiunile de exploatare a sistemului feroviar pe care societatea le furnizează în baza contractelor încheiate</w:t>
            </w:r>
          </w:p>
          <w:p w:rsidR="00290974" w:rsidRDefault="009024E0" w:rsidP="0029097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024E0">
              <w:rPr>
                <w:rFonts w:ascii="Times New Roman" w:hAnsi="Times New Roman" w:cs="Times New Roman"/>
                <w:sz w:val="26"/>
                <w:szCs w:val="26"/>
              </w:rPr>
              <w:t xml:space="preserve">   Cheltuielile de natură salarială au fost stabilite cu respectarea prevederilor art.48 alin.(1) lit.</w:t>
            </w:r>
            <w:r w:rsidR="00D343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D343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024E0">
              <w:rPr>
                <w:rFonts w:ascii="Times New Roman" w:hAnsi="Times New Roman" w:cs="Times New Roman"/>
                <w:sz w:val="26"/>
                <w:szCs w:val="26"/>
              </w:rPr>
              <w:t xml:space="preserve"> din </w:t>
            </w:r>
            <w:proofErr w:type="spellStart"/>
            <w:r w:rsidRPr="009024E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Legea</w:t>
            </w:r>
            <w:proofErr w:type="spellEnd"/>
            <w:r w:rsidRPr="009024E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nr. 5/2020 a </w:t>
            </w:r>
            <w:proofErr w:type="spellStart"/>
            <w:r w:rsidRPr="009024E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bugetului</w:t>
            </w:r>
            <w:proofErr w:type="spellEnd"/>
            <w:r w:rsidRPr="009024E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de </w:t>
            </w:r>
            <w:proofErr w:type="spellStart"/>
            <w:r w:rsidRPr="009024E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stat</w:t>
            </w:r>
            <w:proofErr w:type="spellEnd"/>
            <w:r w:rsidRPr="009024E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pe </w:t>
            </w:r>
            <w:proofErr w:type="spellStart"/>
            <w:r w:rsidRPr="009024E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anul</w:t>
            </w:r>
            <w:proofErr w:type="spellEnd"/>
            <w:r w:rsidRPr="009024E0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2020</w:t>
            </w:r>
            <w:r w:rsidR="00290974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.</w:t>
            </w:r>
          </w:p>
          <w:p w:rsidR="003479AA" w:rsidRPr="00710379" w:rsidRDefault="001D2622" w:rsidP="0029097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 </w:t>
            </w:r>
            <w:r w:rsidR="00D343F9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Societatea nu a înregistrat în anul 2019 si nu programează pentru anul 2020</w:t>
            </w:r>
            <w:r w:rsidR="00290974">
              <w:t xml:space="preserve"> </w:t>
            </w:r>
            <w:r w:rsidR="00290974" w:rsidRPr="002909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plăți restante</w:t>
            </w:r>
            <w:r w:rsidR="00290974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1D2622" w:rsidRDefault="003479AA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1D2622" w:rsidRPr="00E607CF" w:rsidRDefault="001D2622" w:rsidP="001D2622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bookmarkStart w:id="0" w:name="_GoBack"/>
        <w:bookmarkEnd w:id="0"/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F74DE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Pr="00ED59F4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Pr="00ED59F4" w:rsidRDefault="003479AA" w:rsidP="00D968AE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D968AE" w:rsidRDefault="00D968AE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pe anul 20</w:t>
      </w:r>
      <w:r w:rsidR="001D2622">
        <w:rPr>
          <w:rFonts w:ascii="Times New Roman" w:hAnsi="Times New Roman" w:cs="Times New Roman"/>
          <w:sz w:val="26"/>
          <w:szCs w:val="26"/>
          <w:lang w:eastAsia="ro-RO"/>
        </w:rPr>
        <w:t>20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43F9" w:rsidRPr="00D343F9">
        <w:rPr>
          <w:rFonts w:ascii="Times New Roman" w:hAnsi="Times New Roman" w:cs="Times New Roman"/>
          <w:sz w:val="26"/>
          <w:szCs w:val="26"/>
        </w:rPr>
        <w:t>Societăţii</w:t>
      </w:r>
      <w:proofErr w:type="spellEnd"/>
      <w:r w:rsidR="00D343F9" w:rsidRPr="00D343F9">
        <w:rPr>
          <w:rFonts w:ascii="Times New Roman" w:hAnsi="Times New Roman" w:cs="Times New Roman"/>
          <w:sz w:val="26"/>
          <w:szCs w:val="26"/>
        </w:rPr>
        <w:t xml:space="preserve">  “</w:t>
      </w:r>
      <w:proofErr w:type="spellStart"/>
      <w:r w:rsidR="00D343F9" w:rsidRPr="00D343F9">
        <w:rPr>
          <w:rFonts w:ascii="Times New Roman" w:hAnsi="Times New Roman" w:cs="Times New Roman"/>
          <w:sz w:val="26"/>
          <w:szCs w:val="26"/>
        </w:rPr>
        <w:t>Telecomunicaţii</w:t>
      </w:r>
      <w:proofErr w:type="spellEnd"/>
      <w:r w:rsidR="00D343F9" w:rsidRPr="00D343F9">
        <w:rPr>
          <w:rFonts w:ascii="Times New Roman" w:hAnsi="Times New Roman" w:cs="Times New Roman"/>
          <w:sz w:val="26"/>
          <w:szCs w:val="26"/>
        </w:rPr>
        <w:t xml:space="preserve"> C.F.R.” S.A.</w:t>
      </w:r>
      <w:r w:rsidR="00D343F9">
        <w:rPr>
          <w:rFonts w:ascii="Times New Roman" w:hAnsi="Times New Roman" w:cs="Times New Roman"/>
          <w:sz w:val="26"/>
          <w:szCs w:val="26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aflată sub autoritatea </w:t>
      </w:r>
      <w:r w:rsidR="00AD16AA" w:rsidRPr="00AD16AA">
        <w:rPr>
          <w:rFonts w:ascii="Times New Roman" w:hAnsi="Times New Roman" w:cs="Times New Roman"/>
          <w:sz w:val="26"/>
          <w:szCs w:val="26"/>
          <w:lang w:eastAsia="ro-RO"/>
        </w:rPr>
        <w:t>Ministerului Transporturilor, Infrastructurii și Comunicațiilor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Ministrul Transporturilor, Infrastructurii și Comunicațiilor 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Nicolae BODE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Vasile-Florin CÎȚU </w:t>
            </w: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r w:rsidR="00AD16AA"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Protecției</w:t>
            </w: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AD16AA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AD16A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Victoria Violeta ALEXANDRU </w:t>
            </w: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D343F9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4209D0" w:rsidRPr="004209D0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D343F9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209D0"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322C46" w:rsidRPr="00D343F9" w:rsidRDefault="00322C46" w:rsidP="00322C4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D343F9">
        <w:rPr>
          <w:rFonts w:ascii="Times New Roman" w:hAnsi="Times New Roman" w:cs="Times New Roman"/>
          <w:b/>
          <w:sz w:val="26"/>
          <w:szCs w:val="26"/>
        </w:rPr>
        <w:t>Ștefania-</w:t>
      </w:r>
      <w:proofErr w:type="spellStart"/>
      <w:r w:rsidRPr="00D343F9">
        <w:rPr>
          <w:rFonts w:ascii="Times New Roman" w:hAnsi="Times New Roman" w:cs="Times New Roman"/>
          <w:b/>
          <w:sz w:val="26"/>
          <w:szCs w:val="26"/>
        </w:rPr>
        <w:t>Gabriella</w:t>
      </w:r>
      <w:proofErr w:type="spellEnd"/>
      <w:r w:rsidRPr="00D343F9">
        <w:rPr>
          <w:rFonts w:ascii="Times New Roman" w:hAnsi="Times New Roman" w:cs="Times New Roman"/>
          <w:b/>
          <w:sz w:val="26"/>
          <w:szCs w:val="26"/>
        </w:rPr>
        <w:t xml:space="preserve"> FERENCZ</w:t>
      </w:r>
    </w:p>
    <w:p w:rsidR="004209D0" w:rsidRPr="004209D0" w:rsidRDefault="004209D0" w:rsidP="00322C46">
      <w:pPr>
        <w:tabs>
          <w:tab w:val="left" w:pos="3945"/>
        </w:tabs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79D" w:rsidRPr="00D343F9" w:rsidRDefault="000A479D" w:rsidP="000A479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43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DIRECŢIA TRANSPORT FEROVIAR</w:t>
      </w:r>
    </w:p>
    <w:p w:rsidR="000A479D" w:rsidRPr="00D343F9" w:rsidRDefault="000A479D" w:rsidP="000A479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43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DIRECTOR, </w:t>
      </w:r>
    </w:p>
    <w:p w:rsidR="004209D0" w:rsidRPr="00D343F9" w:rsidRDefault="000A479D" w:rsidP="000A479D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43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Simona ISTRATE</w:t>
      </w:r>
    </w:p>
    <w:p w:rsidR="004209D0" w:rsidRPr="00D343F9" w:rsidRDefault="004209D0" w:rsidP="004209D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322C46" w:rsidRPr="004209D0" w:rsidRDefault="00322C46" w:rsidP="00322C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02" w:rsidRDefault="00F83302">
      <w:pPr>
        <w:spacing w:after="0" w:line="240" w:lineRule="auto"/>
      </w:pPr>
      <w:r>
        <w:separator/>
      </w:r>
    </w:p>
  </w:endnote>
  <w:endnote w:type="continuationSeparator" w:id="0">
    <w:p w:rsidR="00F83302" w:rsidRDefault="00F8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02" w:rsidRDefault="00F83302">
      <w:pPr>
        <w:spacing w:after="0" w:line="240" w:lineRule="auto"/>
      </w:pPr>
      <w:r>
        <w:separator/>
      </w:r>
    </w:p>
  </w:footnote>
  <w:footnote w:type="continuationSeparator" w:id="0">
    <w:p w:rsidR="00F83302" w:rsidRDefault="00F8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507B7"/>
    <w:multiLevelType w:val="hybridMultilevel"/>
    <w:tmpl w:val="2B803520"/>
    <w:lvl w:ilvl="0" w:tplc="64244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90B77"/>
    <w:rsid w:val="0009530E"/>
    <w:rsid w:val="00097A25"/>
    <w:rsid w:val="00097A2C"/>
    <w:rsid w:val="000A479D"/>
    <w:rsid w:val="000D253C"/>
    <w:rsid w:val="000D54A5"/>
    <w:rsid w:val="000D7478"/>
    <w:rsid w:val="000E3E62"/>
    <w:rsid w:val="000F2A9C"/>
    <w:rsid w:val="000F638E"/>
    <w:rsid w:val="001024E8"/>
    <w:rsid w:val="001050B5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B1D85"/>
    <w:rsid w:val="001C012A"/>
    <w:rsid w:val="001C1EC3"/>
    <w:rsid w:val="001C48F9"/>
    <w:rsid w:val="001C67F9"/>
    <w:rsid w:val="001C6F04"/>
    <w:rsid w:val="001D0194"/>
    <w:rsid w:val="001D2622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2C2F"/>
    <w:rsid w:val="00246A4C"/>
    <w:rsid w:val="00250043"/>
    <w:rsid w:val="00250389"/>
    <w:rsid w:val="002565B1"/>
    <w:rsid w:val="002705BC"/>
    <w:rsid w:val="00274AA5"/>
    <w:rsid w:val="00274DEE"/>
    <w:rsid w:val="00277DB2"/>
    <w:rsid w:val="00290974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32C1"/>
    <w:rsid w:val="00304B6A"/>
    <w:rsid w:val="003053F0"/>
    <w:rsid w:val="003117EA"/>
    <w:rsid w:val="00322C46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3F63B0"/>
    <w:rsid w:val="00403A14"/>
    <w:rsid w:val="00406152"/>
    <w:rsid w:val="00407862"/>
    <w:rsid w:val="00413B68"/>
    <w:rsid w:val="004209D0"/>
    <w:rsid w:val="004223E0"/>
    <w:rsid w:val="0042485E"/>
    <w:rsid w:val="00440E17"/>
    <w:rsid w:val="00464D53"/>
    <w:rsid w:val="00465F97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175E2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3B0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6F5D70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C79D7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024E0"/>
    <w:rsid w:val="0091268B"/>
    <w:rsid w:val="00913BF5"/>
    <w:rsid w:val="00916671"/>
    <w:rsid w:val="009204FF"/>
    <w:rsid w:val="00924FE4"/>
    <w:rsid w:val="00926050"/>
    <w:rsid w:val="00936F7C"/>
    <w:rsid w:val="009371F9"/>
    <w:rsid w:val="0094028E"/>
    <w:rsid w:val="00942B4A"/>
    <w:rsid w:val="009526BA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12B61"/>
    <w:rsid w:val="00A35A7B"/>
    <w:rsid w:val="00A35C1E"/>
    <w:rsid w:val="00A47B08"/>
    <w:rsid w:val="00A47F90"/>
    <w:rsid w:val="00A5604D"/>
    <w:rsid w:val="00A61350"/>
    <w:rsid w:val="00A715A1"/>
    <w:rsid w:val="00A73C18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16AA"/>
    <w:rsid w:val="00AD30A2"/>
    <w:rsid w:val="00AE42B1"/>
    <w:rsid w:val="00AE5FB7"/>
    <w:rsid w:val="00B074E9"/>
    <w:rsid w:val="00B11039"/>
    <w:rsid w:val="00B11080"/>
    <w:rsid w:val="00B20384"/>
    <w:rsid w:val="00B20525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178D4"/>
    <w:rsid w:val="00D223EC"/>
    <w:rsid w:val="00D343F9"/>
    <w:rsid w:val="00D41B2A"/>
    <w:rsid w:val="00D42FB1"/>
    <w:rsid w:val="00D4429C"/>
    <w:rsid w:val="00D45E0C"/>
    <w:rsid w:val="00D55E3E"/>
    <w:rsid w:val="00D57CB1"/>
    <w:rsid w:val="00D83A52"/>
    <w:rsid w:val="00D843E6"/>
    <w:rsid w:val="00D9588E"/>
    <w:rsid w:val="00D968A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3954"/>
    <w:rsid w:val="00EE7440"/>
    <w:rsid w:val="00EF2074"/>
    <w:rsid w:val="00EF3C1D"/>
    <w:rsid w:val="00EF52CE"/>
    <w:rsid w:val="00EF60E1"/>
    <w:rsid w:val="00F03249"/>
    <w:rsid w:val="00F20C71"/>
    <w:rsid w:val="00F30CB8"/>
    <w:rsid w:val="00F35BD5"/>
    <w:rsid w:val="00F361DF"/>
    <w:rsid w:val="00F41CC8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74DEA"/>
    <w:rsid w:val="00F82106"/>
    <w:rsid w:val="00F83144"/>
    <w:rsid w:val="00F83302"/>
    <w:rsid w:val="00F83FFA"/>
    <w:rsid w:val="00FA5E75"/>
    <w:rsid w:val="00FB176D"/>
    <w:rsid w:val="00FB183D"/>
    <w:rsid w:val="00FB3D0A"/>
    <w:rsid w:val="00FB7C55"/>
    <w:rsid w:val="00FC2EFE"/>
    <w:rsid w:val="00FD177A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5</cp:revision>
  <cp:lastPrinted>2020-02-10T07:53:00Z</cp:lastPrinted>
  <dcterms:created xsi:type="dcterms:W3CDTF">2020-01-14T07:23:00Z</dcterms:created>
  <dcterms:modified xsi:type="dcterms:W3CDTF">2020-02-10T07:56:00Z</dcterms:modified>
</cp:coreProperties>
</file>